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Accessibility</w:t>
      </w:r>
      <w:r>
        <w:t xml:space="preserve"> </w:t>
      </w:r>
      <w:r>
        <w:t xml:space="preserve">Resources</w:t>
      </w:r>
    </w:p>
    <w:p>
      <w:pPr>
        <w:pStyle w:val="Author"/>
      </w:pPr>
      <w:r>
        <w:rPr>
          <w:b/>
        </w:rPr>
        <w:t xml:space="preserve">H.</w:t>
      </w:r>
      <w:r>
        <w:rPr>
          <w:b/>
        </w:rPr>
        <w:t xml:space="preserve"> </w:t>
      </w:r>
      <w:r>
        <w:rPr>
          <w:b/>
        </w:rPr>
        <w:t xml:space="preserve">Conrad</w:t>
      </w:r>
      <w:r>
        <w:rPr>
          <w:b/>
        </w:rPr>
        <w:t xml:space="preserve"> </w:t>
      </w:r>
      <w:r>
        <w:rPr>
          <w:b/>
        </w:rPr>
        <w:t xml:space="preserve">Cunningham</w:t>
      </w:r>
    </w:p>
    <w:p>
      <w:pPr>
        <w:pStyle w:val="Date"/>
      </w:pPr>
      <w:r>
        <w:rPr>
          <w:b/>
        </w:rPr>
        <w:t xml:space="preserve">13</w:t>
      </w:r>
      <w:r>
        <w:rPr>
          <w:b/>
        </w:rPr>
        <w:t xml:space="preserve"> </w:t>
      </w:r>
      <w:r>
        <w:rPr>
          <w:b/>
        </w:rPr>
        <w:t xml:space="preserve">April</w:t>
      </w:r>
      <w:r>
        <w:rPr>
          <w:b/>
        </w:rPr>
        <w:t xml:space="preserve"> </w:t>
      </w:r>
      <w:r>
        <w:rPr>
          <w:b/>
        </w:rPr>
        <w:t xml:space="preserve">2019</w:t>
      </w:r>
    </w:p>
    <w:p>
      <w:pPr>
        <w:pStyle w:val="Heading1"/>
      </w:pPr>
      <w:bookmarkStart w:id="20" w:name="accessibility-resources"/>
      <w:r>
        <w:t xml:space="preserve">Accessibility Resources</w:t>
      </w:r>
      <w:bookmarkEnd w:id="20"/>
    </w:p>
    <w:p>
      <w:pPr>
        <w:pStyle w:val="FirstParagraph"/>
      </w:pPr>
      <w:r>
        <w:t xml:space="preserve">I initially prepared this page as a handout for the Spring 2019</w:t>
      </w:r>
      <w:r>
        <w:t xml:space="preserve"> </w:t>
      </w:r>
      <w:r>
        <w:t xml:space="preserve">offering of CSci 487, Senior Project, in Computer and Information</w:t>
      </w:r>
      <w:r>
        <w:t xml:space="preserve"> </w:t>
      </w:r>
      <w:r>
        <w:t xml:space="preserve">Science at the University of Mississippi.</w:t>
      </w:r>
    </w:p>
    <w:p>
      <w:pPr>
        <w:pStyle w:val="Heading2"/>
      </w:pPr>
      <w:bookmarkStart w:id="21" w:name="what-is-accessibility"/>
      <w:r>
        <w:t xml:space="preserve">What is Accessibility</w:t>
      </w:r>
      <w:bookmarkEnd w:id="21"/>
    </w:p>
    <w:p>
      <w:pPr>
        <w:pStyle w:val="FirstParagraph"/>
      </w:pPr>
      <w:r>
        <w:t xml:space="preserve">To comply with legal expectations such as the Americans with</w:t>
      </w:r>
      <w:r>
        <w:t xml:space="preserve"> </w:t>
      </w:r>
      <w:r>
        <w:t xml:space="preserve">Disabilities Act of 1990, the Rehabilitation Act of 1973, and other</w:t>
      </w:r>
      <w:r>
        <w:t xml:space="preserve"> </w:t>
      </w:r>
      <w:r>
        <w:t xml:space="preserve">laws, court rulings, and international conventions, we must make our</w:t>
      </w:r>
      <w:r>
        <w:t xml:space="preserve"> </w:t>
      </w:r>
      <w:r>
        <w:t xml:space="preserve">electronic documents, websites, software applications (mobile,</w:t>
      </w:r>
      <w:r>
        <w:t xml:space="preserve"> </w:t>
      </w:r>
      <w:r>
        <w:t xml:space="preserve">desktop, web, etc.), video, audio, and hardware accessible to persons</w:t>
      </w:r>
      <w:r>
        <w:t xml:space="preserve"> </w:t>
      </w:r>
      <w:r>
        <w:t xml:space="preserve">with a wide range of abilities and disabilities. This, of course,</w:t>
      </w:r>
      <w:r>
        <w:t xml:space="preserve"> </w:t>
      </w:r>
      <w:r>
        <w:t xml:space="preserve">applies to materials for our courses, whether online or in the</w:t>
      </w:r>
      <w:r>
        <w:t xml:space="preserve"> </w:t>
      </w:r>
      <w:r>
        <w:t xml:space="preserve">classroom.</w:t>
      </w:r>
    </w:p>
    <w:p>
      <w:pPr>
        <w:pStyle w:val="BodyText"/>
      </w:pPr>
      <w:r>
        <w:t xml:space="preserve">As examples, consider users who have:</w:t>
      </w:r>
    </w:p>
    <w:p>
      <w:pPr>
        <w:numPr>
          <w:numId w:val="1001"/>
          <w:ilvl w:val="0"/>
        </w:numPr>
      </w:pPr>
      <w:r>
        <w:t xml:space="preserve">visual impairments (e.g., blindness, low vision, color blindness)</w:t>
      </w:r>
    </w:p>
    <w:p>
      <w:pPr>
        <w:numPr>
          <w:numId w:val="1001"/>
          <w:ilvl w:val="0"/>
        </w:numPr>
      </w:pPr>
      <w:r>
        <w:t xml:space="preserve">hearing impairments (e.g., deafness, hard of hearing)</w:t>
      </w:r>
    </w:p>
    <w:p>
      <w:pPr>
        <w:numPr>
          <w:numId w:val="1001"/>
          <w:ilvl w:val="0"/>
        </w:numPr>
      </w:pPr>
      <w:r>
        <w:t xml:space="preserve">fine motor impairments (e.g., inability to use some input devices</w:t>
      </w:r>
      <w:r>
        <w:t xml:space="preserve"> </w:t>
      </w:r>
      <w:r>
        <w:t xml:space="preserve">such as mice; necessity to use assistive technologies such as</w:t>
      </w:r>
      <w:r>
        <w:t xml:space="preserve"> </w:t>
      </w:r>
      <w:r>
        <w:t xml:space="preserve">speech input, head pointers, or eye trackers)</w:t>
      </w:r>
    </w:p>
    <w:p>
      <w:pPr>
        <w:numPr>
          <w:numId w:val="1001"/>
          <w:ilvl w:val="0"/>
        </w:numPr>
      </w:pPr>
      <w:r>
        <w:t xml:space="preserve">learning challenges (e.g., dyslexia, auditory processing disorder)</w:t>
      </w:r>
    </w:p>
    <w:p>
      <w:pPr>
        <w:numPr>
          <w:numId w:val="1001"/>
          <w:ilvl w:val="0"/>
        </w:numPr>
      </w:pPr>
      <w:r>
        <w:t xml:space="preserve">limited English fluency or literacy</w:t>
      </w:r>
    </w:p>
    <w:p>
      <w:pPr>
        <w:numPr>
          <w:numId w:val="1001"/>
          <w:ilvl w:val="0"/>
        </w:numPr>
      </w:pPr>
      <w:r>
        <w:t xml:space="preserve">mobile devices rather than full-size monitors</w:t>
      </w:r>
    </w:p>
    <w:p>
      <w:pPr>
        <w:numPr>
          <w:numId w:val="1001"/>
          <w:ilvl w:val="0"/>
        </w:numPr>
      </w:pPr>
      <w:r>
        <w:t xml:space="preserve">low bandwidth or unreliable internet connections</w:t>
      </w:r>
    </w:p>
    <w:p>
      <w:pPr>
        <w:numPr>
          <w:numId w:val="1001"/>
          <w:ilvl w:val="0"/>
        </w:numPr>
      </w:pPr>
      <w:r>
        <w:t xml:space="preserve">limited experience using computing devices</w:t>
      </w:r>
    </w:p>
    <w:p>
      <w:pPr>
        <w:pStyle w:val="FirstParagraph"/>
      </w:pPr>
      <w:r>
        <w:t xml:space="preserve">It is usually better to treat accessibility as a</w:t>
      </w:r>
      <w:r>
        <w:t xml:space="preserve"> </w:t>
      </w:r>
      <w:r>
        <w:rPr>
          <w:i/>
        </w:rPr>
        <w:t xml:space="preserve">design concern</w:t>
      </w:r>
      <w:r>
        <w:t xml:space="preserve"> </w:t>
      </w:r>
      <w:r>
        <w:t xml:space="preserve">from</w:t>
      </w:r>
      <w:r>
        <w:t xml:space="preserve"> </w:t>
      </w:r>
      <w:r>
        <w:t xml:space="preserve">the beginning rather than an</w:t>
      </w:r>
      <w:r>
        <w:t xml:space="preserve"> </w:t>
      </w:r>
      <w:r>
        <w:rPr>
          <w:i/>
        </w:rPr>
        <w:t xml:space="preserve">add-on feature</w:t>
      </w:r>
      <w:r>
        <w:t xml:space="preserve"> </w:t>
      </w:r>
      <w:r>
        <w:t xml:space="preserve">at the end of development.</w:t>
      </w:r>
    </w:p>
    <w:p>
      <w:pPr>
        <w:pStyle w:val="Heading2"/>
      </w:pPr>
      <w:bookmarkStart w:id="22" w:name="online-resources"/>
      <w:r>
        <w:t xml:space="preserve">Online Resources</w:t>
      </w:r>
      <w:bookmarkEnd w:id="22"/>
    </w:p>
    <w:p>
      <w:pPr>
        <w:numPr>
          <w:numId w:val="1002"/>
          <w:ilvl w:val="0"/>
        </w:numPr>
      </w:pPr>
      <w:hyperlink r:id="rId23">
        <w:r>
          <w:rPr>
            <w:rStyle w:val="Hyperlink"/>
          </w:rPr>
          <w:t xml:space="preserve">University of Washington, Getting Started with Accessibility</w:t>
        </w:r>
      </w:hyperlink>
    </w:p>
    <w:p>
      <w:pPr>
        <w:numPr>
          <w:numId w:val="1003"/>
          <w:ilvl w:val="1"/>
        </w:numPr>
      </w:pPr>
      <w:r>
        <w:t xml:space="preserve">There are subpages on creating accessible documents, websites,</w:t>
      </w:r>
      <w:r>
        <w:t xml:space="preserve"> </w:t>
      </w:r>
      <w:r>
        <w:t xml:space="preserve">and videos.</w:t>
      </w:r>
    </w:p>
    <w:p>
      <w:pPr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UW IT Accessibility Checklist and Tutorial</w:t>
        </w:r>
      </w:hyperlink>
    </w:p>
    <w:p>
      <w:pPr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Universal Design of Instruction (UDI):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Definition, Principles, Guidelines, and Examples</w:t>
        </w:r>
      </w:hyperlink>
      <w:r>
        <w:t xml:space="preserve">,</w:t>
      </w:r>
      <w:r>
        <w:t xml:space="preserve"> </w:t>
      </w:r>
      <w:r>
        <w:t xml:space="preserve">by Sheryl Burgstahler, University of Washington, DO-IT Center.</w:t>
      </w:r>
    </w:p>
    <w:p>
      <w:pPr>
        <w:numPr>
          <w:numId w:val="1002"/>
          <w:ilvl w:val="0"/>
        </w:numPr>
      </w:pPr>
      <w:hyperlink r:id="rId26">
        <w:r>
          <w:rPr>
            <w:rStyle w:val="Hyperlink"/>
          </w:rPr>
          <w:t xml:space="preserve">Web Accessibility In Mind (WebAIM)</w:t>
        </w:r>
      </w:hyperlink>
    </w:p>
    <w:p>
      <w:pPr>
        <w:numPr>
          <w:numId w:val="1004"/>
          <w:ilvl w:val="1"/>
        </w:numPr>
      </w:pPr>
      <w:hyperlink r:id="rId27">
        <w:r>
          <w:rPr>
            <w:rStyle w:val="Hyperlink"/>
          </w:rPr>
          <w:t xml:space="preserve">WebAIM’s Resources page</w:t>
        </w:r>
      </w:hyperlink>
    </w:p>
    <w:p>
      <w:pPr>
        <w:numPr>
          <w:numId w:val="1004"/>
          <w:ilvl w:val="1"/>
        </w:numPr>
      </w:pPr>
      <w:hyperlink r:id="rId28">
        <w:r>
          <w:rPr>
            <w:rStyle w:val="Hyperlink"/>
          </w:rPr>
          <w:t xml:space="preserve">Introduction to Web Accessibility</w:t>
        </w:r>
      </w:hyperlink>
    </w:p>
    <w:p>
      <w:pPr>
        <w:numPr>
          <w:numId w:val="1004"/>
          <w:ilvl w:val="1"/>
        </w:numPr>
      </w:pPr>
      <w:hyperlink r:id="rId29">
        <w:r>
          <w:rPr>
            <w:rStyle w:val="Hyperlink"/>
          </w:rPr>
          <w:t xml:space="preserve">WebAIM’s WCAG 2 Checklist</w:t>
        </w:r>
      </w:hyperlink>
    </w:p>
    <w:p>
      <w:pPr>
        <w:numPr>
          <w:numId w:val="1004"/>
          <w:ilvl w:val="1"/>
        </w:numPr>
      </w:pPr>
      <w:hyperlink r:id="rId30">
        <w:r>
          <w:rPr>
            <w:rStyle w:val="Hyperlink"/>
          </w:rPr>
          <w:t xml:space="preserve">WebAIM Wave tool</w:t>
        </w:r>
      </w:hyperlink>
    </w:p>
    <w:p>
      <w:pPr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World-Wide Web Consortium (W3C), Web Content Accessibility Guidelines (WCAG)</w:t>
        </w:r>
      </w:hyperlink>
    </w:p>
    <w:p>
      <w:pPr>
        <w:numPr>
          <w:numId w:val="1000"/>
          <w:ilvl w:val="0"/>
        </w:numPr>
      </w:pPr>
      <w:r>
        <w:t xml:space="preserve">Although this explicitly addresses Web documents, most other</w:t>
      </w:r>
      <w:r>
        <w:t xml:space="preserve"> </w:t>
      </w:r>
      <w:r>
        <w:t xml:space="preserve">electronic media use this description as the</w:t>
      </w:r>
      <w:r>
        <w:t xml:space="preserve"> </w:t>
      </w:r>
      <w:r>
        <w:t xml:space="preserve">“</w:t>
      </w:r>
      <w:r>
        <w:t xml:space="preserve">definitive</w:t>
      </w:r>
      <w:r>
        <w:t xml:space="preserve">”</w:t>
      </w:r>
      <w:r>
        <w:t xml:space="preserve"> </w:t>
      </w:r>
      <w:r>
        <w:t xml:space="preserve">set of</w:t>
      </w:r>
      <w:r>
        <w:t xml:space="preserve"> </w:t>
      </w:r>
      <w:r>
        <w:t xml:space="preserve">industry guidelines.</w:t>
      </w:r>
    </w:p>
    <w:p>
      <w:pPr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Creating accessible Office documents (Microsoft)</w:t>
        </w:r>
      </w:hyperlink>
    </w:p>
    <w:p>
      <w:pPr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Pandoc and Markdown</w:t>
        </w:r>
      </w:hyperlink>
    </w:p>
    <w:p>
      <w:pPr>
        <w:numPr>
          <w:numId w:val="1000"/>
          <w:ilvl w:val="0"/>
        </w:numPr>
      </w:pPr>
      <w:r>
        <w:t xml:space="preserve">Cunningham note: My personal workflow for course materials is to</w:t>
      </w:r>
      <w:r>
        <w:t xml:space="preserve"> </w:t>
      </w:r>
      <w:r>
        <w:t xml:space="preserve">use Pandoc-flavored Markdown to</w:t>
      </w:r>
      <w:r>
        <w:t xml:space="preserve"> </w:t>
      </w:r>
      <w:r>
        <w:t xml:space="preserve">“</w:t>
      </w:r>
      <w:r>
        <w:t xml:space="preserve">encode</w:t>
      </w:r>
      <w:r>
        <w:t xml:space="preserve">”</w:t>
      </w:r>
      <w:r>
        <w:t xml:space="preserve"> </w:t>
      </w:r>
      <w:r>
        <w:t xml:space="preserve">documents in plain text</w:t>
      </w:r>
      <w:r>
        <w:t xml:space="preserve"> </w:t>
      </w:r>
      <w:r>
        <w:t xml:space="preserve">and the Pandoc to convert the document to other formats such as</w:t>
      </w:r>
      <w:r>
        <w:t xml:space="preserve"> </w:t>
      </w:r>
      <w:r>
        <w:t xml:space="preserve">HTML, LaTeX/PDF, and Word.</w:t>
      </w:r>
    </w:p>
    <w:p>
      <w:pPr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Accessible R Markdown Documents</w:t>
        </w:r>
      </w:hyperlink>
    </w:p>
    <w:p>
      <w:pPr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Accessible Graphics Resources</w:t>
        </w:r>
      </w:hyperlink>
    </w:p>
    <w:p>
      <w:pPr>
        <w:pStyle w:val="Heading2"/>
      </w:pPr>
      <w:bookmarkStart w:id="36" w:name="web-content-accessibility-guidelines"/>
      <w:r>
        <w:t xml:space="preserve">Web Content Accessibility Guidelines</w:t>
      </w:r>
      <w:bookmarkEnd w:id="36"/>
    </w:p>
    <w:p>
      <w:pPr>
        <w:pStyle w:val="FirstParagraph"/>
      </w:pPr>
      <w:r>
        <w:t xml:space="preserve">Note: I adapted this section from a draft paper by Hao Zhou and</w:t>
      </w:r>
      <w:r>
        <w:t xml:space="preserve"> </w:t>
      </w:r>
      <w:r>
        <w:t xml:space="preserve">H. Conrad Cunningham.</w:t>
      </w:r>
    </w:p>
    <w:p>
      <w:pPr>
        <w:pStyle w:val="BodyText"/>
      </w:pPr>
      <w:r>
        <w:t xml:space="preserve">To clarify what is meant by accessibility in Web pages, the W3C</w:t>
      </w:r>
      <w:r>
        <w:t xml:space="preserve"> </w:t>
      </w:r>
      <w:r>
        <w:t xml:space="preserve">standardized the Web Content Accessibility Guidelines (WCAG). WCAG 2.1</w:t>
      </w:r>
      <w:r>
        <w:t xml:space="preserve"> </w:t>
      </w:r>
      <w:r>
        <w:t xml:space="preserve">is organized according to thirteen technology-independent</w:t>
      </w:r>
      <w:r>
        <w:t xml:space="preserve"> </w:t>
      </w:r>
      <w:r>
        <w:rPr>
          <w:i/>
        </w:rPr>
        <w:t xml:space="preserve">guidelines</w:t>
      </w:r>
      <w:r>
        <w:t xml:space="preserve"> </w:t>
      </w:r>
      <w:r>
        <w:t xml:space="preserve">grouped according to the following four</w:t>
      </w:r>
      <w:r>
        <w:t xml:space="preserve"> </w:t>
      </w:r>
      <w:r>
        <w:rPr>
          <w:i/>
        </w:rPr>
        <w:t xml:space="preserve">principles</w:t>
      </w:r>
      <w:r>
        <w:t xml:space="preserve">. Accessible documents must be [WCAG 2.1]:</w:t>
      </w:r>
    </w:p>
    <w:p>
      <w:pPr>
        <w:pStyle w:val="Compact"/>
        <w:numPr>
          <w:numId w:val="1005"/>
          <w:ilvl w:val="0"/>
        </w:numPr>
      </w:pPr>
      <w:r>
        <w:t xml:space="preserve">perceivable</w:t>
      </w:r>
    </w:p>
    <w:p>
      <w:pPr>
        <w:pStyle w:val="Compact"/>
        <w:numPr>
          <w:numId w:val="1005"/>
          <w:ilvl w:val="0"/>
        </w:numPr>
      </w:pPr>
      <w:r>
        <w:t xml:space="preserve">operable</w:t>
      </w:r>
    </w:p>
    <w:p>
      <w:pPr>
        <w:pStyle w:val="Compact"/>
        <w:numPr>
          <w:numId w:val="1005"/>
          <w:ilvl w:val="0"/>
        </w:numPr>
      </w:pPr>
      <w:r>
        <w:t xml:space="preserve">understandable</w:t>
      </w:r>
    </w:p>
    <w:p>
      <w:pPr>
        <w:pStyle w:val="Compact"/>
        <w:numPr>
          <w:numId w:val="1005"/>
          <w:ilvl w:val="0"/>
        </w:numPr>
      </w:pPr>
      <w:r>
        <w:t xml:space="preserve">robust</w:t>
      </w:r>
    </w:p>
    <w:p>
      <w:pPr>
        <w:pStyle w:val="FirstParagraph"/>
      </w:pPr>
      <w:r>
        <w:t xml:space="preserve">The guidelines are not testable, but WCAG also associates one or more</w:t>
      </w:r>
      <w:r>
        <w:t xml:space="preserve"> </w:t>
      </w:r>
      <w:r>
        <w:t xml:space="preserve">testable</w:t>
      </w:r>
      <w:r>
        <w:t xml:space="preserve"> </w:t>
      </w:r>
      <w:r>
        <w:rPr>
          <w:i/>
        </w:rPr>
        <w:t xml:space="preserve">success criteria</w:t>
      </w:r>
      <w:r>
        <w:t xml:space="preserve"> </w:t>
      </w:r>
      <w:r>
        <w:t xml:space="preserve">with each each of thirteen guidelines. For</w:t>
      </w:r>
      <w:r>
        <w:t xml:space="preserve"> </w:t>
      </w:r>
      <w:r>
        <w:t xml:space="preserve">a criterion to be testable, it should be possible for either a program</w:t>
      </w:r>
      <w:r>
        <w:t xml:space="preserve"> </w:t>
      </w:r>
      <w:r>
        <w:t xml:space="preserve">or a human reader to determine unambiguously whether the criterion is</w:t>
      </w:r>
      <w:r>
        <w:t xml:space="preserve"> </w:t>
      </w:r>
      <w:r>
        <w:t xml:space="preserve">satisfied for a specific Web page.</w:t>
      </w:r>
    </w:p>
    <w:p>
      <w:pPr>
        <w:pStyle w:val="BodyText"/>
      </w:pPr>
      <w:r>
        <w:t xml:space="preserve">Using the WCAG and its success criteria, WebAIM provides the web</w:t>
      </w:r>
      <w:r>
        <w:t xml:space="preserve"> </w:t>
      </w:r>
      <w:r>
        <w:t xml:space="preserve">accessibility evaluation tool WAVE to help authors and publishers</w:t>
      </w:r>
      <w:r>
        <w:t xml:space="preserve"> </w:t>
      </w:r>
      <w:r>
        <w:t xml:space="preserve">develop compliant Web pages.</w:t>
      </w:r>
    </w:p>
    <w:p>
      <w:pPr>
        <w:pStyle w:val="Heading3"/>
      </w:pPr>
      <w:bookmarkStart w:id="37" w:name="perceivable"/>
      <w:r>
        <w:t xml:space="preserve">Perceivable</w:t>
      </w:r>
      <w:bookmarkEnd w:id="37"/>
    </w:p>
    <w:p>
      <w:pPr>
        <w:pStyle w:val="FirstParagraph"/>
      </w:pPr>
      <w:r>
        <w:t xml:space="preserve">The user must be able to perceive both the content and the user</w:t>
      </w:r>
      <w:r>
        <w:t xml:space="preserve"> </w:t>
      </w:r>
      <w:r>
        <w:t xml:space="preserve">interface controls. To be</w:t>
      </w:r>
      <w:r>
        <w:t xml:space="preserve"> </w:t>
      </w:r>
      <w:r>
        <w:rPr>
          <w:i/>
        </w:rPr>
        <w:t xml:space="preserve">perceivable</w:t>
      </w:r>
      <w:r>
        <w:t xml:space="preserve">, an accessible document must</w:t>
      </w:r>
      <w:r>
        <w:t xml:space="preserve"> </w:t>
      </w:r>
      <w:r>
        <w:t xml:space="preserve">[WCAG 2.1]:</w:t>
      </w:r>
    </w:p>
    <w:p>
      <w:pPr>
        <w:numPr>
          <w:numId w:val="1006"/>
          <w:ilvl w:val="0"/>
        </w:numPr>
      </w:pPr>
      <w:r>
        <w:t xml:space="preserve">“</w:t>
      </w:r>
      <w:r>
        <w:t xml:space="preserve">provide text alternatives for any non-text content so that it can</w:t>
      </w:r>
      <w:r>
        <w:t xml:space="preserve"> </w:t>
      </w:r>
      <w:r>
        <w:t xml:space="preserve">be changed into other forms people need, such as large print,</w:t>
      </w:r>
      <w:r>
        <w:t xml:space="preserve"> </w:t>
      </w:r>
      <w:r>
        <w:t xml:space="preserve">braille, speech, symbols or simpler language</w:t>
      </w:r>
      <w:r>
        <w:t xml:space="preserve">”</w:t>
      </w:r>
    </w:p>
    <w:p>
      <w:pPr>
        <w:numPr>
          <w:numId w:val="1006"/>
          <w:ilvl w:val="0"/>
        </w:numPr>
      </w:pPr>
      <w:r>
        <w:t xml:space="preserve">“</w:t>
      </w:r>
      <w:r>
        <w:t xml:space="preserve">provide alternatives for time-based media</w:t>
      </w:r>
      <w:r>
        <w:t xml:space="preserve">”</w:t>
      </w:r>
    </w:p>
    <w:p>
      <w:pPr>
        <w:numPr>
          <w:numId w:val="1006"/>
          <w:ilvl w:val="0"/>
        </w:numPr>
      </w:pPr>
      <w:r>
        <w:t xml:space="preserve">consist of</w:t>
      </w:r>
      <w:r>
        <w:t xml:space="preserve"> </w:t>
      </w:r>
      <w:r>
        <w:t xml:space="preserve">“</w:t>
      </w:r>
      <w:r>
        <w:t xml:space="preserve">content that can be presented in different ways (for</w:t>
      </w:r>
      <w:r>
        <w:t xml:space="preserve"> </w:t>
      </w:r>
      <w:r>
        <w:t xml:space="preserve">example simpler layout) without losing information or structure</w:t>
      </w:r>
      <w:r>
        <w:t xml:space="preserve">”</w:t>
      </w:r>
    </w:p>
    <w:p>
      <w:pPr>
        <w:numPr>
          <w:numId w:val="1006"/>
          <w:ilvl w:val="0"/>
        </w:numPr>
      </w:pPr>
      <w:r>
        <w:t xml:space="preserve">“</w:t>
      </w:r>
      <w:r>
        <w:t xml:space="preserve">make it easier for users to see and hear content including</w:t>
      </w:r>
      <w:r>
        <w:t xml:space="preserve"> </w:t>
      </w:r>
      <w:r>
        <w:t xml:space="preserve">separating foreground from background</w:t>
      </w:r>
      <w:r>
        <w:t xml:space="preserve">”</w:t>
      </w:r>
    </w:p>
    <w:p>
      <w:pPr>
        <w:pStyle w:val="FirstParagraph"/>
      </w:pPr>
      <w:r>
        <w:t xml:space="preserve">As an example of a testable success criterion for the</w:t>
      </w:r>
      <w:r>
        <w:t xml:space="preserve"> </w:t>
      </w:r>
      <w:r>
        <w:t xml:space="preserve">“</w:t>
      </w:r>
      <w:r>
        <w:t xml:space="preserve">provide text</w:t>
      </w:r>
      <w:r>
        <w:t xml:space="preserve"> </w:t>
      </w:r>
      <w:r>
        <w:t xml:space="preserve">alternatives for any non-text content</w:t>
      </w:r>
      <w:r>
        <w:t xml:space="preserve">”</w:t>
      </w:r>
      <w:r>
        <w:t xml:space="preserve"> </w:t>
      </w:r>
      <w:r>
        <w:t xml:space="preserve">guideline, WCAG requires any</w:t>
      </w:r>
      <w:r>
        <w:t xml:space="preserve"> </w:t>
      </w:r>
      <w:r>
        <w:t xml:space="preserve">essential</w:t>
      </w:r>
      <w:r>
        <w:t xml:space="preserve"> </w:t>
      </w:r>
      <w:r>
        <w:t xml:space="preserve">“</w:t>
      </w:r>
      <w:r>
        <w:t xml:space="preserve">non-text content that is presented to the user</w:t>
      </w:r>
      <w:r>
        <w:t xml:space="preserve">”</w:t>
      </w:r>
      <w:r>
        <w:t xml:space="preserve"> </w:t>
      </w:r>
      <w:r>
        <w:t xml:space="preserve">to have</w:t>
      </w:r>
      <w:r>
        <w:t xml:space="preserve"> </w:t>
      </w:r>
      <w:r>
        <w:t xml:space="preserve">“</w:t>
      </w:r>
      <w:r>
        <w:t xml:space="preserve">a</w:t>
      </w:r>
      <w:r>
        <w:t xml:space="preserve"> </w:t>
      </w:r>
      <w:r>
        <w:t xml:space="preserve">text alternative that serves the equivalent purpose</w:t>
      </w:r>
      <w:r>
        <w:t xml:space="preserve">”</w:t>
      </w:r>
      <w:r>
        <w:t xml:space="preserve">. For instance, an</w:t>
      </w:r>
      <w:r>
        <w:t xml:space="preserve"> </w:t>
      </w:r>
      <w:r>
        <w:t xml:space="preserve">image (i.e. HTML</w:t>
      </w:r>
      <w:r>
        <w:t xml:space="preserve"> </w:t>
      </w:r>
      <w:r>
        <w:rPr>
          <w:rStyle w:val="KeywordTok"/>
        </w:rPr>
        <w:t xml:space="preserve">&lt;img&gt;</w:t>
      </w:r>
      <w:r>
        <w:t xml:space="preserve"> </w:t>
      </w:r>
      <w:r>
        <w:t xml:space="preserve">element) conveying essential</w:t>
      </w:r>
      <w:r>
        <w:t xml:space="preserve"> </w:t>
      </w:r>
      <w:r>
        <w:t xml:space="preserve">information must include an alternative (i.e. </w:t>
      </w:r>
      <w:r>
        <w:rPr>
          <w:rStyle w:val="NormalTok"/>
        </w:rPr>
        <w:t xml:space="preserve">alt</w:t>
      </w:r>
      <w:r>
        <w:t xml:space="preserve">) text</w:t>
      </w:r>
      <w:r>
        <w:t xml:space="preserve"> </w:t>
      </w:r>
      <w:r>
        <w:t xml:space="preserve">attribute.</w:t>
      </w:r>
    </w:p>
    <w:p>
      <w:pPr>
        <w:pStyle w:val="Heading3"/>
      </w:pPr>
      <w:bookmarkStart w:id="38" w:name="operable"/>
      <w:r>
        <w:t xml:space="preserve">Operable</w:t>
      </w:r>
      <w:bookmarkEnd w:id="38"/>
    </w:p>
    <w:p>
      <w:pPr>
        <w:pStyle w:val="FirstParagraph"/>
      </w:pPr>
      <w:r>
        <w:t xml:space="preserve">The user must be able to operate and navigate through the user</w:t>
      </w:r>
      <w:r>
        <w:t xml:space="preserve"> </w:t>
      </w:r>
      <w:r>
        <w:t xml:space="preserve">interface. To be</w:t>
      </w:r>
      <w:r>
        <w:t xml:space="preserve"> </w:t>
      </w:r>
      <w:r>
        <w:rPr>
          <w:i/>
        </w:rPr>
        <w:t xml:space="preserve">operable</w:t>
      </w:r>
      <w:r>
        <w:t xml:space="preserve">, the user interface of an accessible</w:t>
      </w:r>
      <w:r>
        <w:t xml:space="preserve"> </w:t>
      </w:r>
      <w:r>
        <w:t xml:space="preserve">document must [WCAG 2.1]:</w:t>
      </w:r>
    </w:p>
    <w:p>
      <w:pPr>
        <w:numPr>
          <w:numId w:val="1007"/>
          <w:ilvl w:val="0"/>
        </w:numPr>
      </w:pPr>
      <w:r>
        <w:t xml:space="preserve">“</w:t>
      </w:r>
      <w:r>
        <w:t xml:space="preserve">make all functionality available from a keyboard</w:t>
      </w:r>
      <w:r>
        <w:t xml:space="preserve">”</w:t>
      </w:r>
    </w:p>
    <w:p>
      <w:pPr>
        <w:numPr>
          <w:numId w:val="1007"/>
          <w:ilvl w:val="0"/>
        </w:numPr>
      </w:pPr>
      <w:r>
        <w:t xml:space="preserve">“</w:t>
      </w:r>
      <w:r>
        <w:t xml:space="preserve">provide users enough time to read and use content</w:t>
      </w:r>
      <w:r>
        <w:t xml:space="preserve">”</w:t>
      </w:r>
    </w:p>
    <w:p>
      <w:pPr>
        <w:numPr>
          <w:numId w:val="1007"/>
          <w:ilvl w:val="0"/>
        </w:numPr>
      </w:pPr>
      <w:r>
        <w:t xml:space="preserve">not present</w:t>
      </w:r>
      <w:r>
        <w:t xml:space="preserve"> </w:t>
      </w:r>
      <w:r>
        <w:t xml:space="preserve">“</w:t>
      </w:r>
      <w:r>
        <w:t xml:space="preserve">content in a way that is known to cause seizures or</w:t>
      </w:r>
      <w:r>
        <w:t xml:space="preserve"> </w:t>
      </w:r>
      <w:r>
        <w:t xml:space="preserve">physical reactions</w:t>
      </w:r>
      <w:r>
        <w:t xml:space="preserve">”</w:t>
      </w:r>
    </w:p>
    <w:p>
      <w:pPr>
        <w:numPr>
          <w:numId w:val="1007"/>
          <w:ilvl w:val="0"/>
        </w:numPr>
      </w:pPr>
      <w:r>
        <w:t xml:space="preserve">“</w:t>
      </w:r>
      <w:r>
        <w:t xml:space="preserve">help users navigate, find content, and determine where they are</w:t>
      </w:r>
      <w:r>
        <w:t xml:space="preserve">”</w:t>
      </w:r>
    </w:p>
    <w:p>
      <w:pPr>
        <w:numPr>
          <w:numId w:val="1007"/>
          <w:ilvl w:val="0"/>
        </w:numPr>
      </w:pPr>
      <w:r>
        <w:t xml:space="preserve">enable</w:t>
      </w:r>
      <w:r>
        <w:t xml:space="preserve"> </w:t>
      </w:r>
      <w:r>
        <w:t xml:space="preserve">“</w:t>
      </w:r>
      <w:r>
        <w:t xml:space="preserve">users to operate functionality through various inputs</w:t>
      </w:r>
      <w:r>
        <w:t xml:space="preserve"> </w:t>
      </w:r>
      <w:r>
        <w:t xml:space="preserve">beyond [the] keyboard</w:t>
      </w:r>
      <w:r>
        <w:t xml:space="preserve">”</w:t>
      </w:r>
    </w:p>
    <w:p>
      <w:pPr>
        <w:pStyle w:val="FirstParagraph"/>
      </w:pPr>
      <w:r>
        <w:t xml:space="preserve">As an example of a testable success criterion for the</w:t>
      </w:r>
      <w:r>
        <w:t xml:space="preserve"> </w:t>
      </w:r>
      <w:r>
        <w:t xml:space="preserve">“</w:t>
      </w:r>
      <w:r>
        <w:t xml:space="preserve">help users</w:t>
      </w:r>
      <w:r>
        <w:t xml:space="preserve"> </w:t>
      </w:r>
      <w:r>
        <w:t xml:space="preserve">navigate</w:t>
      </w:r>
      <w:r>
        <w:t xml:space="preserve">”</w:t>
      </w:r>
      <w:r>
        <w:t xml:space="preserve"> </w:t>
      </w:r>
      <w:r>
        <w:t xml:space="preserve">guideline, WCAG requires the content to be organized using</w:t>
      </w:r>
      <w:r>
        <w:t xml:space="preserve"> </w:t>
      </w:r>
      <w:r>
        <w:t xml:space="preserve">section headings arranged into a logical hierarchy (such as</w:t>
      </w:r>
      <w:r>
        <w:t xml:space="preserve"> </w:t>
      </w:r>
      <w:r>
        <w:rPr>
          <w:rStyle w:val="KeywordTok"/>
        </w:rPr>
        <w:t xml:space="preserve">&lt;h1&gt;</w:t>
      </w:r>
      <w:r>
        <w:t xml:space="preserve">,</w:t>
      </w:r>
      <w:r>
        <w:t xml:space="preserve"> </w:t>
      </w:r>
      <w:r>
        <w:rPr>
          <w:rStyle w:val="KeywordTok"/>
        </w:rPr>
        <w:t xml:space="preserve">&lt;h2&gt;</w:t>
      </w:r>
      <w:r>
        <w:t xml:space="preserve">, … without skipping levels.</w:t>
      </w:r>
    </w:p>
    <w:p>
      <w:pPr>
        <w:pStyle w:val="Heading3"/>
      </w:pPr>
      <w:bookmarkStart w:id="39" w:name="understandable"/>
      <w:r>
        <w:t xml:space="preserve">Understandable</w:t>
      </w:r>
      <w:bookmarkEnd w:id="39"/>
    </w:p>
    <w:p>
      <w:pPr>
        <w:pStyle w:val="FirstParagraph"/>
      </w:pPr>
      <w:r>
        <w:t xml:space="preserve">The user must be able to understand both the content and the user</w:t>
      </w:r>
      <w:r>
        <w:t xml:space="preserve"> </w:t>
      </w:r>
      <w:r>
        <w:t xml:space="preserve">interface operation. To be</w:t>
      </w:r>
      <w:r>
        <w:t xml:space="preserve"> </w:t>
      </w:r>
      <w:r>
        <w:rPr>
          <w:i/>
        </w:rPr>
        <w:t xml:space="preserve">understandable</w:t>
      </w:r>
      <w:r>
        <w:t xml:space="preserve">, the presentation of an</w:t>
      </w:r>
      <w:r>
        <w:t xml:space="preserve"> </w:t>
      </w:r>
      <w:r>
        <w:t xml:space="preserve">accessible document must [WCAG 2.1]:</w:t>
      </w:r>
    </w:p>
    <w:p>
      <w:pPr>
        <w:numPr>
          <w:numId w:val="1008"/>
          <w:ilvl w:val="0"/>
        </w:numPr>
      </w:pPr>
      <w:r>
        <w:t xml:space="preserve">“</w:t>
      </w:r>
      <w:r>
        <w:t xml:space="preserve">make text readable and understandable</w:t>
      </w:r>
      <w:r>
        <w:t xml:space="preserve">”</w:t>
      </w:r>
    </w:p>
    <w:p>
      <w:pPr>
        <w:numPr>
          <w:numId w:val="1008"/>
          <w:ilvl w:val="0"/>
        </w:numPr>
      </w:pPr>
      <w:r>
        <w:t xml:space="preserve">“</w:t>
      </w:r>
      <w:r>
        <w:t xml:space="preserve">make Web pages appear and operate in predictable ways</w:t>
      </w:r>
      <w:r>
        <w:t xml:space="preserve">”</w:t>
      </w:r>
    </w:p>
    <w:p>
      <w:pPr>
        <w:numPr>
          <w:numId w:val="1008"/>
          <w:ilvl w:val="0"/>
        </w:numPr>
      </w:pPr>
      <w:r>
        <w:t xml:space="preserve">“</w:t>
      </w:r>
      <w:r>
        <w:t xml:space="preserve">help users avoid and correct mistakes</w:t>
      </w:r>
      <w:r>
        <w:t xml:space="preserve">”</w:t>
      </w:r>
    </w:p>
    <w:p>
      <w:pPr>
        <w:pStyle w:val="FirstParagraph"/>
      </w:pPr>
      <w:r>
        <w:t xml:space="preserve">As an example of a testable success criterion for the</w:t>
      </w:r>
      <w:r>
        <w:t xml:space="preserve"> </w:t>
      </w:r>
      <w:r>
        <w:t xml:space="preserve">“</w:t>
      </w:r>
      <w:r>
        <w:t xml:space="preserve">make text</w:t>
      </w:r>
      <w:r>
        <w:t xml:space="preserve"> </w:t>
      </w:r>
      <w:r>
        <w:t xml:space="preserve">readable</w:t>
      </w:r>
      <w:r>
        <w:t xml:space="preserve">”</w:t>
      </w:r>
      <w:r>
        <w:t xml:space="preserve"> </w:t>
      </w:r>
      <w:r>
        <w:t xml:space="preserve">guideline, WCAG requires that it be possible for a program</w:t>
      </w:r>
      <w:r>
        <w:t xml:space="preserve"> </w:t>
      </w:r>
      <w:r>
        <w:t xml:space="preserve">to determine the default human language for each Web page. For</w:t>
      </w:r>
      <w:r>
        <w:t xml:space="preserve"> </w:t>
      </w:r>
      <w:r>
        <w:t xml:space="preserve">instance, a Web page should declare the default language using the</w:t>
      </w:r>
      <w:r>
        <w:t xml:space="preserve"> </w:t>
      </w:r>
      <w:r>
        <w:rPr>
          <w:rStyle w:val="NormalTok"/>
        </w:rPr>
        <w:t xml:space="preserve">lang</w:t>
      </w:r>
      <w:r>
        <w:t xml:space="preserve"> </w:t>
      </w:r>
      <w:r>
        <w:t xml:space="preserve">attribute of the page’s</w:t>
      </w:r>
      <w:r>
        <w:t xml:space="preserve"> </w:t>
      </w:r>
      <w:r>
        <w:rPr>
          <w:rStyle w:val="KeywordTok"/>
        </w:rPr>
        <w:t xml:space="preserve">&lt;html&gt;</w:t>
      </w:r>
      <w:r>
        <w:t xml:space="preserve"> </w:t>
      </w:r>
      <w:r>
        <w:t xml:space="preserve">element.</w:t>
      </w:r>
    </w:p>
    <w:p>
      <w:pPr>
        <w:pStyle w:val="Heading3"/>
      </w:pPr>
      <w:bookmarkStart w:id="40" w:name="robust"/>
      <w:r>
        <w:t xml:space="preserve">Robust</w:t>
      </w:r>
      <w:bookmarkEnd w:id="40"/>
    </w:p>
    <w:p>
      <w:pPr>
        <w:pStyle w:val="FirstParagraph"/>
      </w:pPr>
      <w:r>
        <w:t xml:space="preserve">A wide variety of</w:t>
      </w:r>
      <w:r>
        <w:t xml:space="preserve"> </w:t>
      </w:r>
      <w:r>
        <w:t xml:space="preserve">“</w:t>
      </w:r>
      <w:r>
        <w:t xml:space="preserve">user agents</w:t>
      </w:r>
      <w:r>
        <w:t xml:space="preserve">”</w:t>
      </w:r>
      <w:r>
        <w:t xml:space="preserve"> </w:t>
      </w:r>
      <w:r>
        <w:t xml:space="preserve">(both human users and assistive</w:t>
      </w:r>
      <w:r>
        <w:t xml:space="preserve"> </w:t>
      </w:r>
      <w:r>
        <w:t xml:space="preserve">technologies) must be able to interpret the content reliably. To be</w:t>
      </w:r>
      <w:r>
        <w:t xml:space="preserve"> </w:t>
      </w:r>
      <w:r>
        <w:rPr>
          <w:i/>
        </w:rPr>
        <w:t xml:space="preserve">robust</w:t>
      </w:r>
      <w:r>
        <w:t xml:space="preserve">, an accessible document must [WCAG 2.1]:</w:t>
      </w:r>
    </w:p>
    <w:p>
      <w:pPr>
        <w:pStyle w:val="Compact"/>
        <w:numPr>
          <w:numId w:val="1009"/>
          <w:ilvl w:val="0"/>
        </w:numPr>
      </w:pPr>
      <w:r>
        <w:t xml:space="preserve">“</w:t>
      </w:r>
      <w:r>
        <w:t xml:space="preserve">maximize compatibility with current and future user agents,</w:t>
      </w:r>
      <w:r>
        <w:t xml:space="preserve"> </w:t>
      </w:r>
      <w:r>
        <w:t xml:space="preserve">including assistive technologies</w:t>
      </w:r>
      <w:r>
        <w:t xml:space="preserve">”</w:t>
      </w:r>
    </w:p>
    <w:p>
      <w:pPr>
        <w:pStyle w:val="FirstParagraph"/>
      </w:pPr>
      <w:r>
        <w:t xml:space="preserve">As an example of a testable success criterion for this guideline, WCAG</w:t>
      </w:r>
      <w:r>
        <w:t xml:space="preserve"> </w:t>
      </w:r>
      <w:r>
        <w:t xml:space="preserve">requires that a page’s markup meet the specification for the markup</w:t>
      </w:r>
      <w:r>
        <w:t xml:space="preserve"> </w:t>
      </w:r>
      <w:r>
        <w:t xml:space="preserve">language. For example, all HTML elements must have start and end tags,</w:t>
      </w:r>
      <w:r>
        <w:t xml:space="preserve"> </w:t>
      </w:r>
      <w:r>
        <w:t xml:space="preserve">be validly nested, and not contain any duplicate attributes. All</w:t>
      </w:r>
      <w:r>
        <w:t xml:space="preserve"> </w:t>
      </w:r>
      <w:r>
        <w:t xml:space="preserve">identifiers should be unique except in circumstances where duplication</w:t>
      </w:r>
      <w:r>
        <w:t xml:space="preserve"> </w:t>
      </w:r>
      <w:r>
        <w:t xml:space="preserve">is allowed.</w:t>
      </w:r>
    </w:p>
    <w:sectPr w:rsidR="006E1A08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4844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CAD4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4E1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B8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0AE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220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7607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CE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5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2FD2F0F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454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45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454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4540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5">
    <w:name w:val="heading 5"/>
    <w:basedOn w:val="Normal"/>
    <w:next w:val="BodyText"/>
    <w:uiPriority w:val="9"/>
    <w:unhideWhenUsed/>
    <w:qFormat/>
    <w:rsid w:val="004540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6">
    <w:name w:val="heading 6"/>
    <w:basedOn w:val="Normal"/>
    <w:next w:val="BodyText"/>
    <w:uiPriority w:val="9"/>
    <w:unhideWhenUsed/>
    <w:qFormat/>
    <w:rsid w:val="004540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BodyText"/>
    <w:uiPriority w:val="9"/>
    <w:unhideWhenUsed/>
    <w:qFormat/>
    <w:rsid w:val="00454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BodyText"/>
    <w:uiPriority w:val="9"/>
    <w:unhideWhenUsed/>
    <w:qFormat/>
    <w:rsid w:val="004540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BodyText"/>
    <w:uiPriority w:val="9"/>
    <w:unhideWhenUsed/>
    <w:qFormat/>
    <w:rsid w:val="00454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4540D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sid w:val="00FD208D"/>
    <w:rPr>
      <w:color w:val="1F497D" w:themeColor="text2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4540D6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4540D6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5" Target="http://accessiblegraphics.org/" TargetMode="External" /><Relationship Type="http://schemas.openxmlformats.org/officeDocument/2006/relationships/hyperlink" Id="rId30" Target="http://wave.webaim.org/" TargetMode="External" /><Relationship Type="http://schemas.openxmlformats.org/officeDocument/2006/relationships/hyperlink" Id="rId25" Target="https://eric.ed.gov/?id=ED506547" TargetMode="External" /><Relationship Type="http://schemas.openxmlformats.org/officeDocument/2006/relationships/hyperlink" Id="rId33" Target="https://pandoc.org/" TargetMode="External" /><Relationship Type="http://schemas.openxmlformats.org/officeDocument/2006/relationships/hyperlink" Id="rId34" Target="https://r-resources.massey.ac.nz/rmarkdown/" TargetMode="External" /><Relationship Type="http://schemas.openxmlformats.org/officeDocument/2006/relationships/hyperlink" Id="rId32" Target="https://support.office.com/en-ie/article/create-accessible-office-documents-868ecfcd-4f00-4224-b881-a65537a7c155" TargetMode="External" /><Relationship Type="http://schemas.openxmlformats.org/officeDocument/2006/relationships/hyperlink" Id="rId26" Target="https://webaim.org/" TargetMode="External" /><Relationship Type="http://schemas.openxmlformats.org/officeDocument/2006/relationships/hyperlink" Id="rId28" Target="https://webaim.org/intro/" TargetMode="External" /><Relationship Type="http://schemas.openxmlformats.org/officeDocument/2006/relationships/hyperlink" Id="rId27" Target="https://webaim.org/resources/" TargetMode="External" /><Relationship Type="http://schemas.openxmlformats.org/officeDocument/2006/relationships/hyperlink" Id="rId29" Target="https://webaim.org/standards/wcag/checklist" TargetMode="External" /><Relationship Type="http://schemas.openxmlformats.org/officeDocument/2006/relationships/hyperlink" Id="rId31" Target="https://www.w3.org/WAI/WCAG21/quickref/" TargetMode="External" /><Relationship Type="http://schemas.openxmlformats.org/officeDocument/2006/relationships/hyperlink" Id="rId24" Target="https://www.washington.edu/accessibility/checklist/" TargetMode="External" /><Relationship Type="http://schemas.openxmlformats.org/officeDocument/2006/relationships/hyperlink" Id="rId23" Target="https://www.washington.edu/accessibility/start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://accessiblegraphics.org/" TargetMode="External" /><Relationship Type="http://schemas.openxmlformats.org/officeDocument/2006/relationships/hyperlink" Id="rId30" Target="http://wave.webaim.org/" TargetMode="External" /><Relationship Type="http://schemas.openxmlformats.org/officeDocument/2006/relationships/hyperlink" Id="rId25" Target="https://eric.ed.gov/?id=ED506547" TargetMode="External" /><Relationship Type="http://schemas.openxmlformats.org/officeDocument/2006/relationships/hyperlink" Id="rId33" Target="https://pandoc.org/" TargetMode="External" /><Relationship Type="http://schemas.openxmlformats.org/officeDocument/2006/relationships/hyperlink" Id="rId34" Target="https://r-resources.massey.ac.nz/rmarkdown/" TargetMode="External" /><Relationship Type="http://schemas.openxmlformats.org/officeDocument/2006/relationships/hyperlink" Id="rId32" Target="https://support.office.com/en-ie/article/create-accessible-office-documents-868ecfcd-4f00-4224-b881-a65537a7c155" TargetMode="External" /><Relationship Type="http://schemas.openxmlformats.org/officeDocument/2006/relationships/hyperlink" Id="rId26" Target="https://webaim.org/" TargetMode="External" /><Relationship Type="http://schemas.openxmlformats.org/officeDocument/2006/relationships/hyperlink" Id="rId28" Target="https://webaim.org/intro/" TargetMode="External" /><Relationship Type="http://schemas.openxmlformats.org/officeDocument/2006/relationships/hyperlink" Id="rId27" Target="https://webaim.org/resources/" TargetMode="External" /><Relationship Type="http://schemas.openxmlformats.org/officeDocument/2006/relationships/hyperlink" Id="rId29" Target="https://webaim.org/standards/wcag/checklist" TargetMode="External" /><Relationship Type="http://schemas.openxmlformats.org/officeDocument/2006/relationships/hyperlink" Id="rId31" Target="https://www.w3.org/WAI/WCAG21/quickref/" TargetMode="External" /><Relationship Type="http://schemas.openxmlformats.org/officeDocument/2006/relationships/hyperlink" Id="rId24" Target="https://www.washington.edu/accessibility/checklist/" TargetMode="External" /><Relationship Type="http://schemas.openxmlformats.org/officeDocument/2006/relationships/hyperlink" Id="rId23" Target="https://www.washington.edu/accessibility/star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Resources</dc:title>
  <dc:creator>H. Conrad Cunningham</dc:creator>
  <dc:language>en</dc:language>
  <cp:keywords/>
  <dcterms:created xsi:type="dcterms:W3CDTF">2019-09-12T19:51:26Z</dcterms:created>
  <dcterms:modified xsi:type="dcterms:W3CDTF">2019-09-12T19:51:26Z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13 April 2019</vt:lpwstr>
  </property>
</Properties>
</file>